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AEC5" w14:textId="175EE341" w:rsidR="00CB1D7A" w:rsidRDefault="00194391" w:rsidP="00194391">
      <w:pPr>
        <w:snapToGrid w:val="0"/>
        <w:spacing w:before="120" w:after="12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cs-CZ"/>
        </w:rPr>
      </w:pPr>
      <w:r w:rsidRPr="00194391">
        <w:rPr>
          <w:rFonts w:ascii="Candara" w:eastAsia="Times New Roman" w:hAnsi="Candara" w:cs="Arial"/>
          <w:b/>
          <w:sz w:val="24"/>
          <w:szCs w:val="24"/>
          <w:lang w:eastAsia="cs-CZ"/>
        </w:rPr>
        <w:t>NÁVŠTĚVNÍ ŘÁD PLAVECKÉHO BAZÉNU</w:t>
      </w:r>
      <w:r>
        <w:rPr>
          <w:rFonts w:ascii="Candara" w:eastAsia="Times New Roman" w:hAnsi="Candara" w:cs="Arial"/>
          <w:b/>
          <w:sz w:val="24"/>
          <w:szCs w:val="24"/>
          <w:lang w:eastAsia="cs-CZ"/>
        </w:rPr>
        <w:t xml:space="preserve"> VÝSTAVIŠTĚ – PRAHA</w:t>
      </w:r>
    </w:p>
    <w:p w14:paraId="795CE3A9" w14:textId="5D137270" w:rsidR="00687A5D" w:rsidRPr="00687A5D" w:rsidRDefault="00687A5D" w:rsidP="00194391">
      <w:pPr>
        <w:snapToGrid w:val="0"/>
        <w:spacing w:before="120" w:after="120" w:line="240" w:lineRule="auto"/>
        <w:jc w:val="center"/>
        <w:rPr>
          <w:rFonts w:ascii="Candara" w:eastAsia="Times New Roman" w:hAnsi="Candara" w:cs="Arial"/>
          <w:b/>
          <w:lang w:eastAsia="cs-CZ"/>
        </w:rPr>
      </w:pPr>
      <w:r w:rsidRPr="00687A5D">
        <w:rPr>
          <w:rFonts w:ascii="Candara" w:eastAsia="Times New Roman" w:hAnsi="Candara" w:cs="Arial"/>
          <w:bCs/>
          <w:lang w:eastAsia="cs-CZ"/>
        </w:rPr>
        <w:t>(dále jen</w:t>
      </w:r>
      <w:r w:rsidRPr="00687A5D">
        <w:rPr>
          <w:rFonts w:ascii="Candara" w:eastAsia="Times New Roman" w:hAnsi="Candara" w:cs="Arial"/>
          <w:b/>
          <w:lang w:eastAsia="cs-CZ"/>
        </w:rPr>
        <w:t xml:space="preserve"> „Návštěvní řád“</w:t>
      </w:r>
      <w:r w:rsidRPr="00687A5D">
        <w:rPr>
          <w:rFonts w:ascii="Candara" w:eastAsia="Times New Roman" w:hAnsi="Candara" w:cs="Arial"/>
          <w:bCs/>
          <w:lang w:eastAsia="cs-CZ"/>
        </w:rPr>
        <w:t>)</w:t>
      </w:r>
    </w:p>
    <w:p w14:paraId="515979DB" w14:textId="77777777" w:rsidR="00CB1D7A" w:rsidRPr="00194391" w:rsidRDefault="00CB1D7A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b/>
          <w:sz w:val="21"/>
          <w:szCs w:val="21"/>
          <w:u w:val="single"/>
          <w:lang w:eastAsia="cs-CZ"/>
        </w:rPr>
      </w:pPr>
    </w:p>
    <w:p w14:paraId="70A4A14B" w14:textId="5F22AE08" w:rsidR="00526DE1" w:rsidRPr="00194391" w:rsidRDefault="00194391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ÚČEL</w:t>
      </w:r>
    </w:p>
    <w:p w14:paraId="582F940B" w14:textId="602DE7FD" w:rsidR="00194391" w:rsidRDefault="00687A5D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t>N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ávštěvní řád plaveckého bazénu vychází z platných právních předpisů o ochraně života,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zdraví a majetku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jeho dodržování je v zájmu ochrany a bezpečnosti návštěvníků </w:t>
      </w:r>
      <w:r w:rsidR="0033354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Výstaviště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Praha (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dále jen „</w:t>
      </w:r>
      <w:r w:rsidR="00D72D01" w:rsidRPr="00194391">
        <w:rPr>
          <w:rFonts w:ascii="Candara" w:eastAsia="Times New Roman" w:hAnsi="Candara" w:cs="Arial"/>
          <w:b/>
          <w:bCs/>
          <w:sz w:val="21"/>
          <w:szCs w:val="21"/>
          <w:lang w:eastAsia="cs-CZ"/>
        </w:rPr>
        <w:t>PB VPH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“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).</w:t>
      </w:r>
    </w:p>
    <w:p w14:paraId="76CCB92C" w14:textId="2E40EF95" w:rsidR="00526DE1" w:rsidRPr="00194391" w:rsidRDefault="00526DE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b/>
          <w:sz w:val="10"/>
          <w:szCs w:val="10"/>
          <w:lang w:eastAsia="cs-CZ"/>
        </w:rPr>
      </w:pPr>
    </w:p>
    <w:p w14:paraId="26E8C1CD" w14:textId="5A6B9D94" w:rsidR="00526DE1" w:rsidRPr="00194391" w:rsidRDefault="00194391" w:rsidP="00194391">
      <w:pPr>
        <w:snapToGrid w:val="0"/>
        <w:spacing w:before="120" w:after="120" w:line="240" w:lineRule="auto"/>
        <w:ind w:right="-284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ROZSAH PLATNOSTI</w:t>
      </w:r>
    </w:p>
    <w:p w14:paraId="7AFB701A" w14:textId="7C5195B2" w:rsidR="00194391" w:rsidRDefault="00687A5D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t>N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ávštěvní řád má sloužit k dodržování plat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ných předpisů, ochraně zdraví a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b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ezpečnosti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návštěvníků </w:t>
      </w:r>
      <w:r w:rsidR="0033354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bazénu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PB VPH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. Tento návštěvní řád neupravuje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práva a povinnosti ve vztahu ke službám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 atrakcím poskytovaným (provozovaným) v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 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areálu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PB VPH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třetí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>mi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>osobami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</w:p>
    <w:p w14:paraId="42F0DC59" w14:textId="3B986CB0" w:rsidR="00194391" w:rsidRDefault="00D72D0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 služby a atrakce poskytované (provozované) v areálu PB VPH třetí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>mi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osobami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nenese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br/>
        <w:t>provozovatel odpovědnost a jejich využití je na rozhodnutí zákazníka. Třetím osobám mohou být na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základě smlouvy v areálu PB VPH poskytovány prostory nebo vodní plocha (např. za účelem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poskytování plaveckého výcviku či jiných aktivit)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s tím, že konkrétní podmínky užití PB VPH mohou být upraveny odlišně od tohoto </w:t>
      </w:r>
      <w:r w:rsidR="00687A5D">
        <w:rPr>
          <w:rFonts w:ascii="Candara" w:eastAsia="Times New Roman" w:hAnsi="Candara" w:cs="Arial"/>
          <w:sz w:val="21"/>
          <w:szCs w:val="21"/>
          <w:lang w:eastAsia="cs-CZ"/>
        </w:rPr>
        <w:t>Ná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vštěvního řádu v konkrétních případech definovaných příslušnou smlouvou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</w:p>
    <w:p w14:paraId="4F1E180D" w14:textId="2D422C5C" w:rsidR="00526DE1" w:rsidRPr="00194391" w:rsidRDefault="00526DE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10"/>
          <w:szCs w:val="10"/>
          <w:lang w:eastAsia="cs-CZ"/>
        </w:rPr>
      </w:pPr>
    </w:p>
    <w:p w14:paraId="729FE7EA" w14:textId="646E37AA" w:rsidR="003B3C41" w:rsidRPr="00194391" w:rsidRDefault="00194391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ZODPOVĚDNOST</w:t>
      </w:r>
    </w:p>
    <w:p w14:paraId="666B06EF" w14:textId="3046709B" w:rsidR="00194391" w:rsidRDefault="00D72D0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Za dodržování </w:t>
      </w:r>
      <w:r w:rsidR="00687A5D">
        <w:rPr>
          <w:rFonts w:ascii="Candara" w:eastAsia="Times New Roman" w:hAnsi="Candara" w:cs="Arial"/>
          <w:sz w:val="21"/>
          <w:szCs w:val="21"/>
          <w:lang w:eastAsia="cs-CZ"/>
        </w:rPr>
        <w:t>N</w:t>
      </w:r>
      <w:r w:rsidR="00AB315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ávštěvního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řádu zodpovídají všichni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návštěvníci PB VPH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. Každý návštěvník se zakoupením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permanentky nebo vstupenky podrobuje ustanovením tohoto </w:t>
      </w:r>
      <w:r w:rsidR="00AB3156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návštěvního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řádu a zavazuje se je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respektovat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 dodržovat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. Návštěvníci PB VPH jsou povinni se s tímto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návštěvním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řádem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předem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seznámit, dodržovat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jeho ustanovení a dbát pokynů pracovníků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bazénu. V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opačném případě mohou být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vykázáni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z PB VPH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bez nároku na vrácení vstupného. Neopustí-li návštěvníci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takovém případě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plavecký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 na vyzvání, může pracovník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požádat o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zakročení pracovníka ostrahy areálu Výstaviště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Praha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nebo příslušníka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městské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policie nebo Policie ČR.</w:t>
      </w:r>
    </w:p>
    <w:p w14:paraId="4948F935" w14:textId="47926BFF" w:rsidR="00687A5D" w:rsidRDefault="00D72D0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Podnájemce je povinen zajistit dodržování </w:t>
      </w:r>
      <w:r w:rsidR="004A41DA">
        <w:rPr>
          <w:rFonts w:ascii="Candara" w:eastAsia="Times New Roman" w:hAnsi="Candara" w:cs="Arial"/>
          <w:sz w:val="21"/>
          <w:szCs w:val="21"/>
          <w:lang w:eastAsia="cs-CZ"/>
        </w:rPr>
        <w:t>N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ávštěvního řádu všemi osobami, které se s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 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jeho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vědomím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zdržují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</w:t>
      </w:r>
      <w:proofErr w:type="spellStart"/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d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najatých</w:t>
      </w:r>
      <w:proofErr w:type="spellEnd"/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prostorách, včetně sub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dodavatelů. Podnájemce odpovídá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újmu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na zdraví osob a na majetku,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k</w:t>
      </w:r>
      <w:r w:rsidR="00687A5D">
        <w:rPr>
          <w:rFonts w:ascii="Candara" w:eastAsia="Times New Roman" w:hAnsi="Candara" w:cs="Arial"/>
          <w:sz w:val="21"/>
          <w:szCs w:val="21"/>
          <w:lang w:eastAsia="cs-CZ"/>
        </w:rPr>
        <w:t>e k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teré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687A5D">
        <w:rPr>
          <w:rFonts w:ascii="Candara" w:eastAsia="Times New Roman" w:hAnsi="Candara" w:cs="Arial"/>
          <w:sz w:val="21"/>
          <w:szCs w:val="21"/>
          <w:lang w:eastAsia="cs-CZ"/>
        </w:rPr>
        <w:t xml:space="preserve">došlo v době podnájmu PB VPH, a to včetně újmy způsobené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jeho zaměstnanci,</w:t>
      </w:r>
      <w:r w:rsidR="00687A5D">
        <w:rPr>
          <w:rFonts w:ascii="Candara" w:eastAsia="Times New Roman" w:hAnsi="Candara" w:cs="Arial"/>
          <w:sz w:val="21"/>
          <w:szCs w:val="21"/>
          <w:lang w:eastAsia="cs-CZ"/>
        </w:rPr>
        <w:t xml:space="preserve"> subdodavateli anebo osobami, kterým poskytuje výuku plavání či jinou službu na základě smluvního vztahu mezi podnájemcem a třetí osobou.  </w:t>
      </w:r>
    </w:p>
    <w:p w14:paraId="18489DB2" w14:textId="04586C29" w:rsidR="005E536A" w:rsidRDefault="00687A5D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Podnájemce, jakož i jiná osoba </w:t>
      </w:r>
      <w:r w:rsidR="00D81DEF">
        <w:rPr>
          <w:rFonts w:ascii="Candara" w:eastAsia="Times New Roman" w:hAnsi="Candara" w:cs="Arial"/>
          <w:sz w:val="21"/>
          <w:szCs w:val="21"/>
          <w:lang w:eastAsia="cs-CZ"/>
        </w:rPr>
        <w:t xml:space="preserve">spojená s Podnájemcem </w:t>
      </w: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odpovídá za 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újm</w:t>
      </w: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u na zdraví a/nebo na majetku v případě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porušení zákonných a</w:t>
      </w:r>
      <w:r w:rsidR="00194391">
        <w:rPr>
          <w:rFonts w:ascii="Candara" w:eastAsia="Times New Roman" w:hAnsi="Candara" w:cs="Arial"/>
          <w:sz w:val="21"/>
          <w:szCs w:val="21"/>
          <w:lang w:eastAsia="cs-CZ"/>
        </w:rPr>
        <w:t>/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nebo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smluvních povinností</w:t>
      </w:r>
      <w:r>
        <w:rPr>
          <w:rFonts w:ascii="Candara" w:eastAsia="Times New Roman" w:hAnsi="Candara" w:cs="Arial"/>
          <w:sz w:val="21"/>
          <w:szCs w:val="21"/>
          <w:lang w:eastAsia="cs-CZ"/>
        </w:rPr>
        <w:t>, jakož i v případě porušení povinností vyplývajících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z</w:t>
      </w: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 tohoto Návštěvního řádu.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</w:p>
    <w:p w14:paraId="035A2EE4" w14:textId="77777777" w:rsidR="00194391" w:rsidRPr="00194391" w:rsidRDefault="00194391" w:rsidP="00194391">
      <w:pPr>
        <w:snapToGrid w:val="0"/>
        <w:spacing w:before="120" w:after="120" w:line="240" w:lineRule="auto"/>
        <w:ind w:right="-284"/>
        <w:jc w:val="both"/>
        <w:rPr>
          <w:rFonts w:ascii="Candara" w:eastAsia="Times New Roman" w:hAnsi="Candara" w:cs="Arial"/>
          <w:sz w:val="10"/>
          <w:szCs w:val="10"/>
          <w:lang w:eastAsia="cs-CZ"/>
        </w:rPr>
      </w:pPr>
    </w:p>
    <w:p w14:paraId="60BE9300" w14:textId="22AE9CEF" w:rsidR="00D72D01" w:rsidRPr="00194391" w:rsidRDefault="00194391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POJMY A ZKRATKY</w:t>
      </w: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br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BOZP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    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–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b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ezpečnost a ochrana zdraví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pracovníků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br/>
      </w:r>
      <w:proofErr w:type="spellStart"/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PrŘ</w:t>
      </w:r>
      <w:proofErr w:type="spellEnd"/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          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–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p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rovozní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řád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br/>
        <w:t xml:space="preserve">OZO BOZP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–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o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dborně způsobilá osoba v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 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prevencích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rizik a BOZP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br/>
        <w:t>PP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           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>–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p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ověřený</w:t>
      </w:r>
      <w:r w:rsidR="00526DE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pracovník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br/>
        <w:t xml:space="preserve">PB VPH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 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– 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 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p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lavecký bazén Výstaviště Praha</w:t>
      </w:r>
      <w:r w:rsidR="00612BDC" w:rsidRPr="00194391">
        <w:rPr>
          <w:rFonts w:ascii="Candara" w:eastAsia="Times New Roman" w:hAnsi="Candara" w:cs="Arial"/>
          <w:sz w:val="21"/>
          <w:szCs w:val="21"/>
          <w:lang w:eastAsia="cs-CZ"/>
        </w:rPr>
        <w:t>-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Holešovice</w:t>
      </w:r>
    </w:p>
    <w:p w14:paraId="0A1A4809" w14:textId="77777777" w:rsidR="0003521C" w:rsidRPr="00194391" w:rsidRDefault="0003521C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sz w:val="10"/>
          <w:szCs w:val="10"/>
          <w:lang w:eastAsia="cs-CZ"/>
        </w:rPr>
      </w:pPr>
    </w:p>
    <w:p w14:paraId="4719E83A" w14:textId="24FB6EA4" w:rsidR="00C20153" w:rsidRPr="00194391" w:rsidRDefault="00194391" w:rsidP="00194391">
      <w:pPr>
        <w:snapToGrid w:val="0"/>
        <w:spacing w:before="120" w:after="120" w:line="240" w:lineRule="auto"/>
        <w:rPr>
          <w:rFonts w:ascii="Candara" w:eastAsia="Times New Roman" w:hAnsi="Candara" w:cs="Arial"/>
          <w:b/>
          <w:sz w:val="10"/>
          <w:szCs w:val="10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ZAJIŠTĚNÍ BEZPEČNÉHO PROVOZU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br/>
      </w:r>
    </w:p>
    <w:p w14:paraId="4D2B8B44" w14:textId="3174D38A" w:rsidR="0003521C" w:rsidRPr="000A62CD" w:rsidRDefault="000A62CD" w:rsidP="000A62CD">
      <w:pPr>
        <w:pStyle w:val="Odstavecseseznamem"/>
        <w:numPr>
          <w:ilvl w:val="1"/>
          <w:numId w:val="20"/>
        </w:numPr>
        <w:snapToGrid w:val="0"/>
        <w:spacing w:before="120" w:after="120" w:line="240" w:lineRule="auto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  </w:t>
      </w:r>
      <w:r w:rsidR="0019439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</w:t>
      </w:r>
      <w:r w:rsidR="00D72D0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>Vstup do plaveckého</w:t>
      </w:r>
      <w:r w:rsidR="00526DE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</w:t>
      </w:r>
      <w:r w:rsidR="00D72D0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>bazénu</w:t>
      </w:r>
    </w:p>
    <w:p w14:paraId="1A8A82A7" w14:textId="3B9A3127" w:rsidR="00731B8D" w:rsidRPr="004A41DA" w:rsidRDefault="0003521C" w:rsidP="000A62CD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hAnsi="Candara" w:cs="Arial"/>
          <w:color w:val="000000" w:themeColor="text1"/>
          <w:sz w:val="21"/>
          <w:szCs w:val="21"/>
        </w:rPr>
        <w:t>Vstup do </w:t>
      </w:r>
      <w:r w:rsidR="00612BDC" w:rsidRPr="00194391">
        <w:rPr>
          <w:rFonts w:ascii="Candara" w:hAnsi="Candara" w:cs="Arial"/>
          <w:color w:val="000000" w:themeColor="text1"/>
          <w:sz w:val="21"/>
          <w:szCs w:val="21"/>
        </w:rPr>
        <w:t>plaveckého</w:t>
      </w:r>
      <w:r w:rsidRPr="00194391">
        <w:rPr>
          <w:rFonts w:ascii="Candara" w:hAnsi="Candara" w:cs="Arial"/>
          <w:color w:val="000000" w:themeColor="text1"/>
          <w:sz w:val="21"/>
          <w:szCs w:val="21"/>
        </w:rPr>
        <w:t xml:space="preserve"> bazénu je dovolen pouze s řádně zaplaceným vstupným či permanentkou s platným čipem </w:t>
      </w:r>
      <w:r w:rsidR="00D72D01" w:rsidRPr="00194391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nebo </w:t>
      </w:r>
      <w:r w:rsidR="00526DE1" w:rsidRPr="00194391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po </w:t>
      </w:r>
      <w:r w:rsidR="00D72D01" w:rsidRPr="00194391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předložení platného průkazu podnájemce.</w:t>
      </w:r>
      <w:r w:rsid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Prodej vstupenek a permanentek 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lastRenderedPageBreak/>
        <w:t>začíná</w:t>
      </w:r>
      <w:r w:rsidR="00526DE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otevírací dobou </w:t>
      </w:r>
      <w:r w:rsidR="00612BDC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plaveckého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bazénu</w:t>
      </w:r>
      <w:r w:rsidR="00526DE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a končí jednu hodinu před koncem otevírací doby. Návštěvník je povinen si zkontrolovat vrácené</w:t>
      </w:r>
      <w:r w:rsidR="00526DE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peníze a dobu návštěvy ihned po zakoupení</w:t>
      </w:r>
      <w:r w:rsidR="00612BDC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 xml:space="preserve"> vstupenky</w:t>
      </w:r>
      <w:r w:rsidR="00D72D01"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. Po</w:t>
      </w:r>
      <w:r w:rsidRPr="004A41DA">
        <w:rPr>
          <w:rFonts w:ascii="Candara" w:eastAsia="Times New Roman" w:hAnsi="Candara" w:cs="Arial"/>
          <w:color w:val="000000" w:themeColor="text1"/>
          <w:sz w:val="21"/>
          <w:szCs w:val="21"/>
          <w:lang w:eastAsia="cs-CZ"/>
        </w:rPr>
        <w:t>zdější reklamace nebudou uznány.</w:t>
      </w:r>
    </w:p>
    <w:p w14:paraId="285A699A" w14:textId="15BB58A7" w:rsidR="00D85589" w:rsidRPr="00194391" w:rsidRDefault="00D85589" w:rsidP="000A62CD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hAnsi="Candara" w:cs="Arial"/>
          <w:sz w:val="21"/>
          <w:szCs w:val="21"/>
        </w:rPr>
        <w:t xml:space="preserve">Doba vstupu začíná načtením čipových hodinek </w:t>
      </w:r>
      <w:r w:rsidR="008E4BE3" w:rsidRPr="00194391">
        <w:rPr>
          <w:rFonts w:ascii="Candara" w:hAnsi="Candara" w:cs="Arial"/>
          <w:sz w:val="21"/>
          <w:szCs w:val="21"/>
        </w:rPr>
        <w:t xml:space="preserve">u pokladny </w:t>
      </w:r>
      <w:r w:rsidRPr="00194391">
        <w:rPr>
          <w:rFonts w:ascii="Candara" w:hAnsi="Candara" w:cs="Arial"/>
          <w:sz w:val="21"/>
          <w:szCs w:val="21"/>
        </w:rPr>
        <w:t>/</w:t>
      </w:r>
      <w:r w:rsidR="008E4BE3" w:rsidRPr="00194391">
        <w:rPr>
          <w:rFonts w:ascii="Candara" w:hAnsi="Candara" w:cs="Arial"/>
          <w:sz w:val="21"/>
          <w:szCs w:val="21"/>
        </w:rPr>
        <w:t xml:space="preserve"> v </w:t>
      </w:r>
      <w:r w:rsidRPr="00194391">
        <w:rPr>
          <w:rFonts w:ascii="Candara" w:hAnsi="Candara" w:cs="Arial"/>
          <w:sz w:val="21"/>
          <w:szCs w:val="21"/>
        </w:rPr>
        <w:t xml:space="preserve">turniketu a končí </w:t>
      </w:r>
      <w:r w:rsidR="009B6DAA" w:rsidRPr="00194391">
        <w:rPr>
          <w:rFonts w:ascii="Candara" w:hAnsi="Candara" w:cs="Arial"/>
          <w:sz w:val="21"/>
          <w:szCs w:val="21"/>
        </w:rPr>
        <w:t xml:space="preserve">po </w:t>
      </w:r>
      <w:r w:rsidRPr="00194391">
        <w:rPr>
          <w:rFonts w:ascii="Candara" w:hAnsi="Candara" w:cs="Arial"/>
          <w:sz w:val="21"/>
          <w:szCs w:val="21"/>
        </w:rPr>
        <w:t xml:space="preserve">opětovném načtení čipových hodinek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při odchodu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u pokladny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/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v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tu</w:t>
      </w:r>
      <w:r w:rsidR="003B3C41" w:rsidRPr="00194391">
        <w:rPr>
          <w:rFonts w:ascii="Candara" w:eastAsia="Times New Roman" w:hAnsi="Candara" w:cs="Arial"/>
          <w:sz w:val="21"/>
          <w:szCs w:val="21"/>
          <w:lang w:eastAsia="cs-CZ"/>
        </w:rPr>
        <w:t>r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niketu. </w:t>
      </w:r>
    </w:p>
    <w:p w14:paraId="14493D0A" w14:textId="16131319" w:rsidR="00D85589" w:rsidRPr="00194391" w:rsidRDefault="00194391" w:rsidP="000A62CD">
      <w:pPr>
        <w:pStyle w:val="Odstavecseseznamem"/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         </w:t>
      </w:r>
      <w:r w:rsid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   </w:t>
      </w:r>
      <w:r w:rsidR="00D85589" w:rsidRPr="00194391">
        <w:rPr>
          <w:rFonts w:ascii="Candara" w:eastAsia="Times New Roman" w:hAnsi="Candara" w:cs="Arial"/>
          <w:sz w:val="21"/>
          <w:szCs w:val="21"/>
          <w:lang w:eastAsia="cs-CZ"/>
        </w:rPr>
        <w:t>Za překročení doby vstupu se účtuje poplatek dle ceníku plaveckého bazénu.</w:t>
      </w:r>
    </w:p>
    <w:p w14:paraId="0241E9A9" w14:textId="74D06FE2" w:rsidR="00D85589" w:rsidRPr="00194391" w:rsidRDefault="00D72D01" w:rsidP="000A62CD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Dětem mladším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10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let nebo menším než 140 cm </w:t>
      </w:r>
      <w:r w:rsid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výšky osoby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je vstup povolen pouze za doprovodu osoby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starší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18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let. Doprovod je po celou dobu pobytu za dítě zodpovědný.</w:t>
      </w:r>
    </w:p>
    <w:p w14:paraId="561B1DF3" w14:textId="5700075E" w:rsidR="00D85589" w:rsidRPr="00194391" w:rsidRDefault="00D72D01" w:rsidP="00194391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Při naplnění kapacity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</w:t>
      </w:r>
      <w:r w:rsidR="00D85589" w:rsidRPr="00194391">
        <w:rPr>
          <w:rFonts w:ascii="Candara" w:eastAsia="Times New Roman" w:hAnsi="Candara" w:cs="Arial"/>
          <w:sz w:val="21"/>
          <w:szCs w:val="21"/>
          <w:lang w:eastAsia="cs-CZ"/>
        </w:rPr>
        <w:t>, která je 42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osob,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se vstup uzavírá až do uvolnění dalších míst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odchodem některých návštěvníků. Vstup v tomto případě nebude umožněn bez ohledu na již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zakoupenou permanentku nebo vstupenku.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</w:p>
    <w:p w14:paraId="03472769" w14:textId="0131C86E" w:rsidR="00D85589" w:rsidRPr="00194391" w:rsidRDefault="00D72D01" w:rsidP="00194391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Při</w:t>
      </w:r>
      <w:r w:rsidR="00731B8D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ztrátě</w:t>
      </w:r>
      <w:r w:rsidR="00976B7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čipových hodinek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je návštěvník povinen zaplatit paušální náhradu ve výši 500</w:t>
      </w:r>
      <w:r w:rsidR="0016701F">
        <w:rPr>
          <w:rFonts w:ascii="Candara" w:eastAsia="Times New Roman" w:hAnsi="Candara" w:cs="Arial"/>
          <w:sz w:val="21"/>
          <w:szCs w:val="21"/>
          <w:lang w:eastAsia="cs-CZ"/>
        </w:rPr>
        <w:t>,-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Kč</w:t>
      </w:r>
      <w:r w:rsidR="007D548B"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</w:p>
    <w:p w14:paraId="39E705C2" w14:textId="400CBEB3" w:rsidR="00D85589" w:rsidRPr="00194391" w:rsidRDefault="00D72D01" w:rsidP="00194391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Zvýhodněné vstu</w:t>
      </w:r>
      <w:r w:rsidR="003B3C4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pné se vztahuje na děti od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2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15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let (po předložení platného dokladu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 fotografií, jménem a datem narození), studenty (po předložení platného indexu nebo platného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studijního průkazu, max. do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26 le</w:t>
      </w:r>
      <w:r w:rsidR="009B6DA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t), na 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držitele průkazu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mimořádných výhod TP, ZTP a ZTP/P (po předložení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platného průkazu)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na seniory od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60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let (po předložení platného občanského průkazu).</w:t>
      </w:r>
    </w:p>
    <w:p w14:paraId="43177B4C" w14:textId="7CEF11AE" w:rsidR="00D85589" w:rsidRPr="00194391" w:rsidRDefault="00D72D01" w:rsidP="00194391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Zdarma je umožněn vstup do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8558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bazénu dětem do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2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let a jedné osobě doprovázející</w:t>
      </w:r>
      <w:r w:rsidR="00AE760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držitele průkazu mimořádných výhod TP, ZTP nebo ZTP/P.</w:t>
      </w:r>
    </w:p>
    <w:p w14:paraId="44A40A36" w14:textId="77777777" w:rsidR="00194391" w:rsidRDefault="00D72D01" w:rsidP="00194391">
      <w:pPr>
        <w:pStyle w:val="Odstavecseseznamem"/>
        <w:numPr>
          <w:ilvl w:val="0"/>
          <w:numId w:val="2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Využívání výtahu/plošiny pro jiné účely než pro dopravu zdravotně postižených nebo hůře</w:t>
      </w:r>
      <w:r w:rsidR="00D8558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pohyblivých osob, zejména její přetěžování nebo nevhodné používání pro dopravu potápěčské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výstroje a jiného nákladu, není dovoleno.</w:t>
      </w:r>
    </w:p>
    <w:p w14:paraId="25D8203C" w14:textId="6EF95D69" w:rsidR="00C9322B" w:rsidRPr="000A62CD" w:rsidRDefault="00C9322B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sz w:val="10"/>
          <w:szCs w:val="10"/>
          <w:lang w:eastAsia="cs-CZ"/>
        </w:rPr>
      </w:pPr>
    </w:p>
    <w:p w14:paraId="2FA1D8B4" w14:textId="27B484E8" w:rsidR="009B6DAA" w:rsidRPr="000A62CD" w:rsidRDefault="000A62CD" w:rsidP="000A62CD">
      <w:pPr>
        <w:pStyle w:val="Odstavecseseznamem"/>
        <w:numPr>
          <w:ilvl w:val="1"/>
          <w:numId w:val="19"/>
        </w:numPr>
        <w:snapToGrid w:val="0"/>
        <w:spacing w:before="120" w:after="120" w:line="240" w:lineRule="auto"/>
        <w:rPr>
          <w:rFonts w:ascii="Candara" w:eastAsia="Times New Roman" w:hAnsi="Candara" w:cs="Arial"/>
          <w:b/>
          <w:sz w:val="21"/>
          <w:szCs w:val="21"/>
          <w:lang w:eastAsia="cs-CZ"/>
        </w:rPr>
      </w:pPr>
      <w:r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   </w:t>
      </w:r>
      <w:r w:rsidR="00D72D0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>Provozní</w:t>
      </w:r>
      <w:r w:rsidR="00C9322B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</w:t>
      </w:r>
      <w:r w:rsidR="00D72D01" w:rsidRPr="000A62CD">
        <w:rPr>
          <w:rFonts w:ascii="Candara" w:eastAsia="Times New Roman" w:hAnsi="Candara" w:cs="Arial"/>
          <w:b/>
          <w:sz w:val="21"/>
          <w:szCs w:val="21"/>
          <w:lang w:eastAsia="cs-CZ"/>
        </w:rPr>
        <w:t>pokyny</w:t>
      </w:r>
    </w:p>
    <w:p w14:paraId="50DD589C" w14:textId="1EC01E83" w:rsidR="0003521C" w:rsidRPr="00194391" w:rsidRDefault="009B6DAA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Před vstupem do bazénu jsou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návštěvníci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 hygienických důvodů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povinni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použít WC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 sprchy,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kde se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bez plavek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řádně umyjí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(případně odlíčí)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mýdlem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osprchují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se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čistou vodou.</w:t>
      </w:r>
    </w:p>
    <w:p w14:paraId="569D35F5" w14:textId="26407DAC" w:rsidR="0003521C" w:rsidRPr="00194391" w:rsidRDefault="009B6DAA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Návštěvníkům je z hygienických důvodů povolen 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vstup do bazénu pouze v čistých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plavkách; v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případě neplavajících návštěvníků (trenéři, uči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telé, rodiče apod.) je vstup do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bazénové haly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umožněn po převlečení do čistého oděvu (tričko + kraťasy) a přezůvek (případné nesrovnalosti se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řeší ukázáním druhého oděvu plavčíkovi).</w:t>
      </w:r>
    </w:p>
    <w:p w14:paraId="537C78DF" w14:textId="0927A81E" w:rsidR="000D5965" w:rsidRPr="00194391" w:rsidRDefault="009B6DAA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c)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U dětí do 3 let</w:t>
      </w:r>
      <w:r w:rsid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věku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 postižených plavců, jejichž zdravot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ní stav to vyžaduje, je povinné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používání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plenek do vody nebo odpovídajících plavek (plavky s přiléhavými gumičkami okolo nohou a pasu).</w:t>
      </w:r>
    </w:p>
    <w:p w14:paraId="0D2D396C" w14:textId="77777777" w:rsidR="00AE26B1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d)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s dlouhými vlasy jsou povinni si je stáhnout pevnou sponkou (gumičkou) nebo použít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koupací čepici.</w:t>
      </w:r>
    </w:p>
    <w:p w14:paraId="20C3F3C6" w14:textId="0A479C7D" w:rsidR="0003521C" w:rsidRPr="00194391" w:rsidRDefault="009B6DAA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e)</w:t>
      </w:r>
      <w:r w:rsidR="00AE26B1"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Každý návštěvník zodpovídá za správné uzamčení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svých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osobních věcí do šatní skříňky. Svlékání,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oblékání nebo odkládání šatstva mimo určené prostory šaten je zakázáno. Při ponechání osobních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věcí v prostoru šaten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v neuzamčených skříňkách 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jejich ztrátě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nenese provozovatel za tyto věci</w:t>
      </w:r>
      <w:r w:rsidR="00161A6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žádnou zodpovědnost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. Vnášet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bazénové haly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batohy, objemné tašky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 obdobná zavazadla a předměty není dovoleno.</w:t>
      </w:r>
    </w:p>
    <w:p w14:paraId="462BA76E" w14:textId="7FF6AEF9" w:rsidR="000A62CD" w:rsidRDefault="009B6DAA" w:rsidP="000A62CD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f)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Za veškeré přinesené předměty si návštěvníci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v prostorách 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bazénu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zodpovídají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sami. Klenoty, peníze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 jiné cennosti mohou návštěv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>níci uložit v recepci do skříňky na cennosti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Za zapůjčení klíčku od skříňky se účtuje vratná záloha 100</w:t>
      </w:r>
      <w:r w:rsidR="000A62CD">
        <w:rPr>
          <w:rFonts w:ascii="Candara" w:eastAsia="Times New Roman" w:hAnsi="Candara" w:cs="Arial"/>
          <w:sz w:val="21"/>
          <w:szCs w:val="21"/>
          <w:lang w:eastAsia="cs-CZ"/>
        </w:rPr>
        <w:t>,-</w:t>
      </w:r>
      <w:r w:rsidR="008E4BE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>Kč.</w:t>
      </w:r>
      <w:r w:rsidR="00C16493">
        <w:rPr>
          <w:rFonts w:ascii="Candara" w:eastAsia="Times New Roman" w:hAnsi="Candara" w:cs="Arial"/>
          <w:sz w:val="21"/>
          <w:szCs w:val="21"/>
          <w:lang w:eastAsia="cs-CZ"/>
        </w:rPr>
        <w:t xml:space="preserve"> V případě, že návštěvník nevyužije této možnosti pro uložení cenností, neodpovídá provozovatel za ztrátu i jinou škodu vzniklou na cennostech.    </w:t>
      </w:r>
    </w:p>
    <w:p w14:paraId="3AB3CC71" w14:textId="77777777" w:rsidR="000A62CD" w:rsidRDefault="009B6DAA" w:rsidP="000A62CD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0A62CD">
        <w:rPr>
          <w:rFonts w:ascii="Candara" w:eastAsia="Times New Roman" w:hAnsi="Candara" w:cs="Arial"/>
          <w:sz w:val="21"/>
          <w:szCs w:val="21"/>
          <w:lang w:eastAsia="cs-CZ"/>
        </w:rPr>
        <w:t>g)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      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>Návštěvníci, kteří jsou neplavci nebo kteří plavou nedokon</w:t>
      </w:r>
      <w:r w:rsidR="000D5965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ale, jsou povinni zdržovat se v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prostorách pro neplavce. Plavčík je </w:t>
      </w:r>
      <w:r w:rsidR="00C9322B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v případě nedodržení </w:t>
      </w:r>
      <w:r w:rsidR="00697C60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tohoto pravidla oprávněn vykázat </w:t>
      </w:r>
      <w:r w:rsidR="00C9322B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takové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>návštěvníky do</w:t>
      </w:r>
      <w:r w:rsidR="00C9322B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>prostor pro neplavce.</w:t>
      </w:r>
    </w:p>
    <w:p w14:paraId="05DC09D1" w14:textId="05CB1935" w:rsidR="000D5965" w:rsidRPr="000A62CD" w:rsidRDefault="000A62CD" w:rsidP="000A62CD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lastRenderedPageBreak/>
        <w:t xml:space="preserve">h)       </w:t>
      </w:r>
      <w:r w:rsidR="00697C60" w:rsidRPr="000A62CD">
        <w:rPr>
          <w:rFonts w:ascii="Candara" w:eastAsia="Times New Roman" w:hAnsi="Candara" w:cs="Arial"/>
          <w:sz w:val="21"/>
          <w:szCs w:val="21"/>
          <w:lang w:eastAsia="cs-CZ"/>
        </w:rPr>
        <w:t>V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zájmu vlastní bezpečnosti jsou všichni návštěvníci </w:t>
      </w:r>
      <w:r w:rsidR="00697C60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>bazénu povinni uposlechnout</w:t>
      </w:r>
      <w:r w:rsidR="00C9322B" w:rsidRPr="000A62CD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0A62CD">
        <w:rPr>
          <w:rFonts w:ascii="Candara" w:eastAsia="Times New Roman" w:hAnsi="Candara" w:cs="Arial"/>
          <w:sz w:val="21"/>
          <w:szCs w:val="21"/>
          <w:lang w:eastAsia="cs-CZ"/>
        </w:rPr>
        <w:t>příkazu plavčíka.</w:t>
      </w:r>
    </w:p>
    <w:p w14:paraId="1B4AE4E6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i)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jsou povinni nepoškozovat zařízení</w:t>
      </w:r>
      <w:r w:rsidR="00697C60" w:rsidRPr="00194391">
        <w:rPr>
          <w:rFonts w:ascii="Candara" w:hAnsi="Candara" w:cs="Arial"/>
          <w:sz w:val="21"/>
          <w:szCs w:val="21"/>
        </w:rPr>
        <w:t xml:space="preserve">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šetřit vodou,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br/>
        <w:t>energiemi a hygienickými potřebami.</w:t>
      </w:r>
    </w:p>
    <w:p w14:paraId="18471863" w14:textId="1BC2D63A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j)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jsou ve vlastním zájmu povinni pohybovat s</w:t>
      </w:r>
      <w:r w:rsidR="00AE26B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e na mokrých plochách opatrně a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předcházet tak případným úrazům, neboť provozovatel nene</w:t>
      </w:r>
      <w:r w:rsidR="00AE26B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se odpovědnost za škody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způsobené vlastní nepozorností, nekázní</w:t>
      </w:r>
      <w:r w:rsidR="0003521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nedodržováním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řádu. Za poranění a úrazy, které si návště</w:t>
      </w:r>
      <w:r w:rsidR="009B6DA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vníci přivodí vlastní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neopatrností nebo nedodržením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návštěvního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řádu, nenese provozovatel odpovědnost.</w:t>
      </w:r>
    </w:p>
    <w:p w14:paraId="6AC1F582" w14:textId="1BA68CEC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k)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Pokud jsou v bazénu instalovány plavecké dráhy, je vyhrazený prostor určen výhradně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pro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9B6DA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kondiční plavce 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>a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nebo 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 xml:space="preserve">za účelem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po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>d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nájm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 xml:space="preserve">u plaveckých drah podnájemcům, kteří mají samostatný smluvní vztah s provozovatelem a jsou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označen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>y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tabulkou</w:t>
      </w:r>
      <w:r w:rsidR="005D2B4A">
        <w:rPr>
          <w:rFonts w:ascii="Candara" w:eastAsia="Times New Roman" w:hAnsi="Candara" w:cs="Arial"/>
          <w:sz w:val="21"/>
          <w:szCs w:val="21"/>
          <w:lang w:eastAsia="cs-CZ"/>
        </w:rPr>
        <w:t xml:space="preserve"> s uvedením podnájmu plavecké dráhy a jejím uživatelem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</w:p>
    <w:p w14:paraId="7FF438E7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l)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0A286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Součástí plaveckého bazénu je letní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sluneční</w:t>
      </w:r>
      <w:r w:rsidR="000A286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terasa. Terasa je otevřena primárně v letních měsících. Návštěvník se na terase musí chovat zodpovědně. Může využívat lehátek a slunečníků. Nesmí je poškozovat. Návštěvník se nesmí nahýbat nebo sedat na okraj zábradlí terasy. Při vstupu zpět do plaveckého bazénu se musí návštěvník osprchovat sprchou, která je na terase nainstalovaná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,</w:t>
      </w:r>
      <w:r w:rsidR="000A286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 projít přes bazének, aby do bazénu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nenosil </w:t>
      </w:r>
      <w:r w:rsidR="000A2866" w:rsidRPr="00194391">
        <w:rPr>
          <w:rFonts w:ascii="Candara" w:eastAsia="Times New Roman" w:hAnsi="Candara" w:cs="Arial"/>
          <w:sz w:val="21"/>
          <w:szCs w:val="21"/>
          <w:lang w:eastAsia="cs-CZ"/>
        </w:rPr>
        <w:t>nečistoty.</w:t>
      </w:r>
    </w:p>
    <w:p w14:paraId="0BAD7AE7" w14:textId="77777777" w:rsid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m)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Návštěvníci odpovídají za jimi způsobené poškození nebo znečištění zařízení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bazénu, případně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za ztrátu půjčených předmětů a jsou povinni způsobenou škodu v souladu s obecně závaznými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předpisy uhradit.</w:t>
      </w:r>
    </w:p>
    <w:p w14:paraId="16DA0029" w14:textId="52FA3CA2" w:rsidR="000D5965" w:rsidRPr="00194391" w:rsidRDefault="00194391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>
        <w:rPr>
          <w:rFonts w:ascii="Candara" w:eastAsia="Times New Roman" w:hAnsi="Candara" w:cs="Arial"/>
          <w:sz w:val="21"/>
          <w:szCs w:val="21"/>
          <w:lang w:eastAsia="cs-CZ"/>
        </w:rPr>
        <w:t xml:space="preserve">           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O způsobení škody bude zpravidla sepsán provozovatelem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 záznam. Výše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škody bude vyčíslena provozovatelem </w:t>
      </w:r>
      <w:r w:rsidR="0016701F">
        <w:rPr>
          <w:rFonts w:ascii="Candara" w:eastAsia="Times New Roman" w:hAnsi="Candara" w:cs="Arial"/>
          <w:sz w:val="21"/>
          <w:szCs w:val="21"/>
          <w:lang w:eastAsia="cs-CZ"/>
        </w:rPr>
        <w:t>PB VPH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 uplatněna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vůči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odpovědné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osobě do 30 dnů od způsobení škody.</w:t>
      </w:r>
    </w:p>
    <w:p w14:paraId="0776079B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n)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Předměty nalezené v prostorách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énu je nálezce povinen odevzdat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plavčíkovi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nebo v recepci, kde bude proveden zápis do </w:t>
      </w:r>
      <w:r w:rsidR="00697C60" w:rsidRPr="00194391">
        <w:rPr>
          <w:rFonts w:ascii="Candara" w:eastAsia="Times New Roman" w:hAnsi="Candara" w:cs="Arial"/>
          <w:sz w:val="21"/>
          <w:szCs w:val="21"/>
          <w:lang w:eastAsia="cs-CZ"/>
        </w:rPr>
        <w:t>knihy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ztrát a nálezů.</w:t>
      </w:r>
    </w:p>
    <w:p w14:paraId="74F2A52E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jsou povinni dodržovat stanovenou otevírací dobu. V případě překročení časového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limitu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>, který se zobrazí u výstupního turniketu na základě přiloženého čipu</w:t>
      </w:r>
      <w:r w:rsidR="00CB1D7A" w:rsidRPr="00194391">
        <w:rPr>
          <w:rFonts w:ascii="Candara" w:eastAsia="Times New Roman" w:hAnsi="Candara" w:cs="Arial"/>
          <w:sz w:val="21"/>
          <w:szCs w:val="21"/>
          <w:lang w:eastAsia="cs-CZ"/>
        </w:rPr>
        <w:t>,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doplácí návštěvník za</w:t>
      </w:r>
      <w:r w:rsidR="003B3C4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každou překročenou minutu sazbu dle ceníku</w:t>
      </w:r>
      <w:r w:rsidR="00CB1D7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.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jsou povinni opustit prostor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bazénové haly dle pokynů plavčíka nejpozději 15 minut před koncem otevírací doby a v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> 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okamžiku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konce </w:t>
      </w:r>
      <w:r w:rsidR="00CB1D7A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otevírací doby opustit prostory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bazénu.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</w:p>
    <w:p w14:paraId="10726B71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případě mimořádných situací má plavčík právo 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ukončit plavání pro veřejnost a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jsou povinni jeho příkaz uposlechnout, okamžitě opustit prostory bazénové haly a do 15 minut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opustit prostory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bazénu.</w:t>
      </w:r>
    </w:p>
    <w:p w14:paraId="73C65E6B" w14:textId="77777777" w:rsidR="000D5965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q)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Provozovatel si vyhrazuje právo uzavřít část nebo veškeré prostory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 pro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veřejnost. Informace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o této skutečnosti budou uveřejněny na vývěsce v prostorách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bazénu.</w:t>
      </w:r>
    </w:p>
    <w:p w14:paraId="3E26BE98" w14:textId="2977C743" w:rsidR="00D72D01" w:rsidRPr="00194391" w:rsidRDefault="000D5965" w:rsidP="00CD23CD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r)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Přání a stížnosti týkající se provozu nebo pracovníků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 Výstaviště mohou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uplatňovat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recepci v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>knize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přání a stížností.</w:t>
      </w:r>
    </w:p>
    <w:p w14:paraId="6F6AB571" w14:textId="77777777" w:rsidR="00CB1D7A" w:rsidRPr="00CD23CD" w:rsidRDefault="00CB1D7A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sz w:val="10"/>
          <w:szCs w:val="10"/>
          <w:lang w:eastAsia="cs-CZ"/>
        </w:rPr>
      </w:pPr>
    </w:p>
    <w:p w14:paraId="424AEB0C" w14:textId="7324291B" w:rsidR="008F50C6" w:rsidRPr="00CD23CD" w:rsidRDefault="008F50C6" w:rsidP="00CD23CD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1</w:t>
      </w:r>
      <w:r w:rsidR="00C20153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.3.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</w:t>
      </w:r>
      <w:r w:rsid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    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Vyloučení návštěvníka z</w:t>
      </w:r>
      <w:r w:rsidR="00C9322B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 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plaveckého</w:t>
      </w:r>
      <w:r w:rsidR="00C9322B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</w:t>
      </w:r>
      <w:r w:rsidR="000D5965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bazénu</w:t>
      </w:r>
    </w:p>
    <w:p w14:paraId="51C2C532" w14:textId="1126AD71" w:rsidR="008F50C6" w:rsidRPr="00194391" w:rsidRDefault="000D5965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a)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ab/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Vyloučeni z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bazénu budou ti návštěvníci, jejichž návštěva narušuje</w:t>
      </w:r>
      <w:r w:rsidR="008F50C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slušné chování a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zásady mravnosti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>,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a návštěvníci, kteří mají prokazatelně rušivý vliv na ostatní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osoby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, bezpečnost provozu a čistotu</w:t>
      </w:r>
      <w:r w:rsidR="00C9322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="008F50C6" w:rsidRPr="00194391">
        <w:rPr>
          <w:rFonts w:ascii="Candara" w:eastAsia="Times New Roman" w:hAnsi="Candara" w:cs="Arial"/>
          <w:sz w:val="21"/>
          <w:szCs w:val="21"/>
          <w:lang w:eastAsia="cs-CZ"/>
        </w:rPr>
        <w:t>bazénu.</w:t>
      </w:r>
    </w:p>
    <w:p w14:paraId="7DAF8872" w14:textId="110095EE" w:rsidR="008F50C6" w:rsidRPr="00194391" w:rsidRDefault="008F50C6" w:rsidP="00194391">
      <w:pPr>
        <w:snapToGrid w:val="0"/>
        <w:spacing w:before="120" w:after="120" w:line="240" w:lineRule="auto"/>
        <w:ind w:left="567" w:hanging="567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hAnsi="Candara" w:cs="Arial"/>
          <w:sz w:val="21"/>
          <w:szCs w:val="21"/>
        </w:rPr>
        <w:t>b)</w:t>
      </w:r>
      <w:r w:rsidR="00CB1D7A" w:rsidRPr="00194391">
        <w:rPr>
          <w:rFonts w:ascii="Candara" w:hAnsi="Candara" w:cs="Arial"/>
          <w:sz w:val="21"/>
          <w:szCs w:val="21"/>
        </w:rPr>
        <w:t xml:space="preserve"> </w:t>
      </w:r>
      <w:r w:rsidR="00194391">
        <w:rPr>
          <w:rFonts w:ascii="Candara" w:hAnsi="Candara" w:cs="Arial"/>
          <w:sz w:val="21"/>
          <w:szCs w:val="21"/>
        </w:rPr>
        <w:t xml:space="preserve">       </w:t>
      </w:r>
      <w:r w:rsidR="007D548B" w:rsidRPr="00194391">
        <w:rPr>
          <w:rFonts w:ascii="Candara" w:hAnsi="Candara" w:cs="Arial"/>
          <w:sz w:val="21"/>
          <w:szCs w:val="21"/>
        </w:rPr>
        <w:t>Na základě vyhlášky Ministerstva zdravotnictví č. 238/2011</w:t>
      </w:r>
      <w:r w:rsidR="00702D93" w:rsidRPr="00194391">
        <w:rPr>
          <w:rFonts w:ascii="Candara" w:hAnsi="Candara" w:cs="Arial"/>
          <w:sz w:val="21"/>
          <w:szCs w:val="21"/>
        </w:rPr>
        <w:t xml:space="preserve"> Sb.</w:t>
      </w:r>
      <w:r w:rsidR="007D548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nemají do PB VPH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nárok na </w:t>
      </w:r>
      <w:r w:rsidR="007D548B" w:rsidRPr="00194391">
        <w:rPr>
          <w:rFonts w:ascii="Candara" w:eastAsia="Times New Roman" w:hAnsi="Candara" w:cs="Arial"/>
          <w:sz w:val="21"/>
          <w:szCs w:val="21"/>
          <w:lang w:eastAsia="cs-CZ"/>
        </w:rPr>
        <w:t>vstup děti do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7D548B" w:rsidRPr="00194391">
        <w:rPr>
          <w:rFonts w:ascii="Candara" w:eastAsia="Times New Roman" w:hAnsi="Candara" w:cs="Arial"/>
          <w:sz w:val="21"/>
          <w:szCs w:val="21"/>
          <w:lang w:eastAsia="cs-CZ"/>
        </w:rPr>
        <w:t>1 roku</w:t>
      </w:r>
      <w:r w:rsidR="00051E67">
        <w:rPr>
          <w:rFonts w:ascii="Candara" w:eastAsia="Times New Roman" w:hAnsi="Candara" w:cs="Arial"/>
          <w:sz w:val="21"/>
          <w:szCs w:val="21"/>
          <w:lang w:eastAsia="cs-CZ"/>
        </w:rPr>
        <w:t xml:space="preserve"> věku</w:t>
      </w:r>
      <w:r w:rsidR="007D548B" w:rsidRPr="00194391">
        <w:rPr>
          <w:rFonts w:ascii="Candara" w:eastAsia="Times New Roman" w:hAnsi="Candara" w:cs="Arial"/>
          <w:sz w:val="21"/>
          <w:szCs w:val="21"/>
          <w:lang w:eastAsia="cs-CZ"/>
        </w:rPr>
        <w:t>.</w:t>
      </w:r>
    </w:p>
    <w:p w14:paraId="36E5715D" w14:textId="1C9541D8" w:rsidR="008F50C6" w:rsidRPr="00194391" w:rsidRDefault="00D72D01" w:rsidP="00194391">
      <w:pPr>
        <w:pStyle w:val="Odstavecseseznamem"/>
        <w:numPr>
          <w:ilvl w:val="0"/>
          <w:numId w:val="17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nemají přístup a z koupání jsou vyloučeni návštěvníci v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> 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podnapilém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stavu nebo pod vlivem drog</w:t>
      </w:r>
      <w:r w:rsidR="00051E67">
        <w:rPr>
          <w:rFonts w:ascii="Candara" w:eastAsia="Times New Roman" w:hAnsi="Candara" w:cs="Arial"/>
          <w:sz w:val="21"/>
          <w:szCs w:val="21"/>
          <w:lang w:eastAsia="cs-CZ"/>
        </w:rPr>
        <w:t xml:space="preserve"> či omamných látek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, dále návštěvníci, kteří jsou postiženi jakoukoliv nemocí ohrožující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zdraví jiných návštěvníků přítomných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>plaveckém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 (kožní vyrážky, bradavice, hnisavé rány, bacilonosiči střevních chorob,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návštěvníci se záněty očních spojivek a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dalšími přenosnými infekčními </w:t>
      </w:r>
      <w:r w:rsidR="00702D93" w:rsidRPr="00194391">
        <w:rPr>
          <w:rFonts w:ascii="Candara" w:eastAsia="Times New Roman" w:hAnsi="Candara" w:cs="Arial"/>
          <w:sz w:val="21"/>
          <w:szCs w:val="21"/>
          <w:lang w:eastAsia="cs-CZ"/>
        </w:rPr>
        <w:lastRenderedPageBreak/>
        <w:t>kožními nebo vlasovými chorobami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) a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návštěvníci zahmyzení. V případě pochybnosti může být návštěvník požádán pracovnicí recepce o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předložení lékařské zprávy.</w:t>
      </w:r>
    </w:p>
    <w:p w14:paraId="67BFCB73" w14:textId="77777777" w:rsidR="008F50C6" w:rsidRPr="00194391" w:rsidRDefault="00D72D01" w:rsidP="00194391">
      <w:pPr>
        <w:pStyle w:val="Odstavecseseznamem"/>
        <w:numPr>
          <w:ilvl w:val="0"/>
          <w:numId w:val="17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Vstup je zakázán návštěvníkům nacházejícím se v karanténě a dále členům rodiny</w:t>
      </w:r>
      <w:r w:rsidR="008F50C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nebo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příslušníkům domácnosti,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níž se vyskytla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přenosná nemoc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 nemocný není izolován.</w:t>
      </w:r>
    </w:p>
    <w:p w14:paraId="2F437145" w14:textId="77777777" w:rsidR="008F50C6" w:rsidRPr="00194391" w:rsidRDefault="00D72D01" w:rsidP="00194391">
      <w:pPr>
        <w:pStyle w:val="Odstavecseseznamem"/>
        <w:numPr>
          <w:ilvl w:val="0"/>
          <w:numId w:val="17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Vyloučeni bez vrácení vstupného</w:t>
      </w:r>
      <w:r w:rsidR="00E40426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mohou být návštěvníci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, kteří neuposlechnou pokynů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oprávněných pracovníků provozovatele.</w:t>
      </w:r>
    </w:p>
    <w:p w14:paraId="60E1D1D2" w14:textId="77777777" w:rsidR="008F50C6" w:rsidRPr="00194391" w:rsidRDefault="00E40426" w:rsidP="00194391">
      <w:pPr>
        <w:pStyle w:val="Odstavecseseznamem"/>
        <w:numPr>
          <w:ilvl w:val="0"/>
          <w:numId w:val="17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Do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PB VPH je zákaz vstupu se</w:t>
      </w:r>
      <w:r w:rsidR="00F05427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D72D01" w:rsidRPr="00194391">
        <w:rPr>
          <w:rFonts w:ascii="Candara" w:eastAsia="Times New Roman" w:hAnsi="Candara" w:cs="Arial"/>
          <w:sz w:val="21"/>
          <w:szCs w:val="21"/>
          <w:lang w:eastAsia="cs-CZ"/>
        </w:rPr>
        <w:t>zvířaty.</w:t>
      </w:r>
    </w:p>
    <w:p w14:paraId="1508D19F" w14:textId="77777777" w:rsidR="008F50C6" w:rsidRPr="00051E67" w:rsidRDefault="008F50C6" w:rsidP="00194391">
      <w:pPr>
        <w:snapToGrid w:val="0"/>
        <w:spacing w:before="120" w:after="120" w:line="240" w:lineRule="auto"/>
        <w:ind w:left="360"/>
        <w:jc w:val="both"/>
        <w:rPr>
          <w:rFonts w:ascii="Candara" w:eastAsia="Times New Roman" w:hAnsi="Candara" w:cs="Arial"/>
          <w:b/>
          <w:sz w:val="10"/>
          <w:szCs w:val="10"/>
          <w:lang w:eastAsia="cs-CZ"/>
        </w:rPr>
      </w:pPr>
    </w:p>
    <w:p w14:paraId="004CC93B" w14:textId="48CD5808" w:rsidR="008F50C6" w:rsidRPr="00194391" w:rsidRDefault="008F50C6" w:rsidP="00051E67">
      <w:pPr>
        <w:snapToGrid w:val="0"/>
        <w:spacing w:before="120" w:after="120" w:line="240" w:lineRule="auto"/>
        <w:ind w:left="142" w:hanging="142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1.4. </w:t>
      </w:r>
      <w:r w:rsidR="00051E67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   </w:t>
      </w: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Zakázané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činnosti v prostorách </w:t>
      </w:r>
      <w:r w:rsidR="00E40426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plaveckého</w:t>
      </w:r>
      <w:r w:rsidR="00D72D01"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 bazénu </w:t>
      </w:r>
      <w:r w:rsidR="00051E67">
        <w:rPr>
          <w:rFonts w:ascii="Candara" w:eastAsia="Times New Roman" w:hAnsi="Candara" w:cs="Arial"/>
          <w:b/>
          <w:sz w:val="21"/>
          <w:szCs w:val="21"/>
          <w:lang w:eastAsia="cs-CZ"/>
        </w:rPr>
        <w:t>PB VPH</w:t>
      </w:r>
    </w:p>
    <w:p w14:paraId="757A7047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prostorách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včetně přilehlých teras, vestibulu i bufetu je zakázáno kouřit,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plivat nebo jinak znečišťovat tyto prostory.</w:t>
      </w:r>
    </w:p>
    <w:p w14:paraId="6E5B91E1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 prostorách bazénové haly je zakázáno křičet, pískat, běhat, dělat zbytečný hluk, volat o pomoc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bez vážné příčiny, vzájemně se potápět, srážet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ostatní návštěvníky do bazénu,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úmyslně stříkat na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ostatní návštěvníky a dopouštět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se jakýchkoliv nepřístojností, které přílišným hlukem nebo ohrožením osobní bezpečnosti ruší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pořádek v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 plaveckém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bazénu.</w:t>
      </w:r>
    </w:p>
    <w:p w14:paraId="488A30ED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prostorách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je přísně zakázáno močit do vody, plivat, holit se, vyplachovat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si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ve vodě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ústa a nos, používat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před koupáním a při něm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jakékoliv masti a krémy 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>a jakýmkoli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>v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způsobem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znečišťovat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vodu.</w:t>
      </w:r>
    </w:p>
    <w:p w14:paraId="4C285463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 bazénu je zakázáno praní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prádla.</w:t>
      </w:r>
    </w:p>
    <w:p w14:paraId="2B6E9597" w14:textId="079FE820" w:rsidR="008F50C6" w:rsidRPr="00F54739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Mýdlo,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šampon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 osobní hygienické potřeby je návštěvn</w:t>
      </w:r>
      <w:r w:rsidR="00AE26B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íkům povoleno používat pouze ve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sprchách a na WC.</w:t>
      </w:r>
    </w:p>
    <w:p w14:paraId="732ADA46" w14:textId="2517297F" w:rsidR="008F50C6" w:rsidRPr="00310DEC" w:rsidRDefault="00F54739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sz w:val="21"/>
          <w:szCs w:val="21"/>
          <w:lang w:eastAsia="cs-CZ"/>
        </w:rPr>
      </w:pPr>
      <w:r w:rsidRPr="00310DEC">
        <w:rPr>
          <w:rFonts w:ascii="Candara" w:eastAsia="Times New Roman" w:hAnsi="Candara" w:cs="Arial"/>
          <w:sz w:val="21"/>
          <w:szCs w:val="21"/>
          <w:lang w:eastAsia="cs-CZ"/>
        </w:rPr>
        <w:t xml:space="preserve">Skoky do bazénu jsou zakázané s výjimkou skoků ze startovacích bloků, avšak i v tomto případně je nutno zajistit, aby skoky byly přiměřené hloubce bazénu v místě instalace startovacích bloků, jakož i ochraně plavců a osob nacházejících se v plaveckém bazénu. Jsou přísně zakázány skoky do bazénu z ostatních míst plaveckého bazénu (zejména pak z podélných stran bazénu). Výjimku z této povinnosti může stanovit podnájemní smlouva uzavřená mezi provozovatelem a konkrétním podnájemce (plavecká škola apod.).  </w:t>
      </w:r>
    </w:p>
    <w:p w14:paraId="526138A8" w14:textId="27D5DBC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</w:t>
      </w:r>
      <w:r w:rsidR="00F54739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je zakázáno vnášet objemné nafukovací předm</w:t>
      </w:r>
      <w:r w:rsidR="00AE26B1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ěty, potápěčské brýle, šnorchl,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plovací ploutve, puky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 míče (včetně tenisových). Povoleny jsou pouze nafukovací rukávky a kruhy pro neplavce,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plavecké brýle a p</w:t>
      </w:r>
      <w:bookmarkStart w:id="0" w:name="_GoBack"/>
      <w:bookmarkEnd w:id="0"/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lavecké pásy. Výjimku z tohoto </w:t>
      </w:r>
      <w:r w:rsidR="00F54739">
        <w:rPr>
          <w:rFonts w:ascii="Candara" w:eastAsia="Times New Roman" w:hAnsi="Candara" w:cs="Arial"/>
          <w:sz w:val="21"/>
          <w:szCs w:val="21"/>
          <w:lang w:eastAsia="cs-CZ"/>
        </w:rPr>
        <w:t xml:space="preserve">ustanovení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uděluje návštěvníkům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písemně provozovatel vždy na aktuální sezónu. Veškeré plavecké a potápěčské pomůcky a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výstroj musí být v případě, že byly užity v nekrytých bazénech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 přírodních vodách, před použitím v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 plaveckém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důkladně očištěny a omyty.</w:t>
      </w:r>
    </w:p>
    <w:p w14:paraId="5C065061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bazénu je zakázán vstup s tlakovou lahví, v neoprenu atd., pokud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nejsou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konkrétní dráh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>y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pronajat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>y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vyloženě za účelem potápění.</w:t>
      </w:r>
    </w:p>
    <w:p w14:paraId="275D410B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Je zakázáno sezení na bójkách vyznačujících plavecké dráhy a chytání se jich. Je zakázáno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sezení na bočních stupních (větrání) v prostorách bazénové haly.</w:t>
      </w:r>
    </w:p>
    <w:p w14:paraId="73E7CEE9" w14:textId="50A238DA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Do bazénové haly, šaten a sprch je zakázán vstup v bot</w:t>
      </w:r>
      <w:r w:rsidR="00F4535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ách s výjimkou čistých přezůvek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určených pro přemístění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se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ze šatny do bazénu a zpět (případné nesrovnalosti se řeší ukázáním druhého páru bot recepčním).</w:t>
      </w:r>
    </w:p>
    <w:p w14:paraId="0720C17F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prostor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bazénu je zakázáno brát </w:t>
      </w:r>
      <w:r w:rsidR="00590DCB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s sebou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a odhazovat žvýkačky, skleněné věci,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jehly, špendlíky,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>holicí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čepelky a všechny předměty ohrožující bezpečnost návštěvníků.</w:t>
      </w:r>
    </w:p>
    <w:p w14:paraId="5CECA2D0" w14:textId="321EB95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Návštěvníkům je zakázáno vstupovat do částí prostor a </w:t>
      </w:r>
      <w:r w:rsidR="001076E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místností určených výhradně pro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opačné pohlaví a do částí prostor a místností určených výhradně pro personál.</w:t>
      </w:r>
    </w:p>
    <w:p w14:paraId="2C48E022" w14:textId="12299639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prostorách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 je zakázáno manipulovat s ovládáním elektroinstalace, topení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a ostatního </w:t>
      </w:r>
      <w:r w:rsidR="001142D3">
        <w:rPr>
          <w:rFonts w:ascii="Candara" w:eastAsia="Times New Roman" w:hAnsi="Candara" w:cs="Arial"/>
          <w:sz w:val="21"/>
          <w:szCs w:val="21"/>
          <w:lang w:eastAsia="cs-CZ"/>
        </w:rPr>
        <w:t xml:space="preserve">technologického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zařízení.</w:t>
      </w:r>
    </w:p>
    <w:p w14:paraId="376909E0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lastRenderedPageBreak/>
        <w:t xml:space="preserve">V šatnách, sprchách, párách, v bazénové hale a v ostatních prostorách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je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zakázáno jíst potraviny</w:t>
      </w:r>
      <w:r w:rsidR="001D002C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a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pít alkoholické a jiné nápoje vyjma míst k tomu určených.</w:t>
      </w:r>
    </w:p>
    <w:p w14:paraId="3648B4B6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Do prostor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je zakázáno vodit s sebou psy nebo jiná zvířata. Výjimku z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tohoto bodu uděluje návštěvníkům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 písemně provozovatel vždy na aktuální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sezónu.</w:t>
      </w:r>
    </w:p>
    <w:p w14:paraId="40A03DEA" w14:textId="77777777" w:rsidR="008F50C6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V prostorách</w:t>
      </w:r>
      <w:r w:rsidR="00D77FA9" w:rsidRPr="00194391">
        <w:rPr>
          <w:rFonts w:ascii="Candara" w:hAnsi="Candara" w:cs="Arial"/>
          <w:sz w:val="21"/>
          <w:szCs w:val="21"/>
        </w:rPr>
        <w:t xml:space="preserve">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>plaveckého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bazénu je zakázáno mimo prostory k tomu určené ponechávat volně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odložené kočárky, jízdní kola, koloběžky, elektrická i šlapací dětská vozidla, odrážedla apod.</w:t>
      </w:r>
    </w:p>
    <w:p w14:paraId="36558711" w14:textId="48BE1E61" w:rsidR="00D72D01" w:rsidRPr="00194391" w:rsidRDefault="00D72D01" w:rsidP="00194391">
      <w:pPr>
        <w:pStyle w:val="Odstavecseseznamem"/>
        <w:numPr>
          <w:ilvl w:val="1"/>
          <w:numId w:val="15"/>
        </w:numPr>
        <w:snapToGrid w:val="0"/>
        <w:spacing w:before="120" w:after="120" w:line="240" w:lineRule="auto"/>
        <w:ind w:left="567" w:hanging="567"/>
        <w:contextualSpacing w:val="0"/>
        <w:jc w:val="both"/>
        <w:rPr>
          <w:rFonts w:ascii="Candara" w:eastAsia="Times New Roman" w:hAnsi="Candara" w:cs="Arial"/>
          <w:b/>
          <w:color w:val="000000" w:themeColor="text1"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V prostorách </w:t>
      </w:r>
      <w:r w:rsidR="00D77FA9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plaveckého 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bazénu je návštěvníkům zakázáno provozovat jakoukoliv komerční</w:t>
      </w:r>
      <w:r w:rsidR="004E05F2" w:rsidRPr="00194391">
        <w:rPr>
          <w:rFonts w:ascii="Candara" w:eastAsia="Times New Roman" w:hAnsi="Candara" w:cs="Arial"/>
          <w:sz w:val="21"/>
          <w:szCs w:val="21"/>
          <w:lang w:eastAsia="cs-CZ"/>
        </w:rPr>
        <w:t xml:space="preserve"> </w:t>
      </w:r>
      <w:r w:rsidR="00731B8D" w:rsidRPr="00194391">
        <w:rPr>
          <w:rFonts w:ascii="Candara" w:eastAsia="Times New Roman" w:hAnsi="Candara" w:cs="Arial"/>
          <w:sz w:val="21"/>
          <w:szCs w:val="21"/>
          <w:lang w:eastAsia="cs-CZ"/>
        </w:rPr>
        <w:t>činnost bez před</w:t>
      </w:r>
      <w:r w:rsidRPr="00194391">
        <w:rPr>
          <w:rFonts w:ascii="Candara" w:eastAsia="Times New Roman" w:hAnsi="Candara" w:cs="Arial"/>
          <w:sz w:val="21"/>
          <w:szCs w:val="21"/>
          <w:lang w:eastAsia="cs-CZ"/>
        </w:rPr>
        <w:t>chozího písemného souhlasu provozovatele.</w:t>
      </w:r>
    </w:p>
    <w:p w14:paraId="629B2C07" w14:textId="77777777" w:rsidR="001142D3" w:rsidRDefault="001142D3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</w:p>
    <w:p w14:paraId="0A2B56F2" w14:textId="203AE276" w:rsidR="00261C95" w:rsidRDefault="001142D3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lang w:eastAsia="cs-CZ"/>
        </w:rPr>
      </w:pPr>
      <w:r w:rsidRPr="00194391">
        <w:rPr>
          <w:rFonts w:ascii="Candara" w:eastAsia="Times New Roman" w:hAnsi="Candara" w:cs="Arial"/>
          <w:b/>
          <w:sz w:val="21"/>
          <w:szCs w:val="21"/>
          <w:lang w:eastAsia="cs-CZ"/>
        </w:rPr>
        <w:t>Z</w:t>
      </w:r>
      <w:r>
        <w:rPr>
          <w:rFonts w:ascii="Candara" w:eastAsia="Times New Roman" w:hAnsi="Candara" w:cs="Arial"/>
          <w:b/>
          <w:sz w:val="21"/>
          <w:szCs w:val="21"/>
          <w:lang w:eastAsia="cs-CZ"/>
        </w:rPr>
        <w:t xml:space="preserve">MĚNY NÁVSŤEVNÍHO ŘÁDU A JEHO ÚČINNOST </w:t>
      </w:r>
    </w:p>
    <w:p w14:paraId="21BCA33B" w14:textId="77777777" w:rsidR="001142D3" w:rsidRDefault="001142D3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  <w:r w:rsidRPr="001142D3">
        <w:rPr>
          <w:rFonts w:ascii="Candara" w:eastAsia="Times New Roman" w:hAnsi="Candara" w:cs="Arial"/>
          <w:bCs/>
          <w:sz w:val="21"/>
          <w:szCs w:val="21"/>
          <w:lang w:eastAsia="cs-CZ"/>
        </w:rPr>
        <w:t>Provozovatel PB VPH</w:t>
      </w:r>
      <w:r>
        <w:rPr>
          <w:rFonts w:ascii="Candara" w:hAnsi="Candara" w:cs="Arial"/>
          <w:sz w:val="21"/>
          <w:szCs w:val="21"/>
        </w:rPr>
        <w:t xml:space="preserve"> je oprávněn tento Návštěvní řád kdykoliv měnit.</w:t>
      </w:r>
    </w:p>
    <w:p w14:paraId="61BB947A" w14:textId="711CD7EE" w:rsidR="001142D3" w:rsidRDefault="001142D3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 xml:space="preserve">Účinnost změny Návštěvního řádu nastává dnem jeho zveřejnění na webových stránkách provozovatele </w:t>
      </w:r>
      <w:hyperlink r:id="rId7" w:history="1">
        <w:r w:rsidRPr="0041436C">
          <w:rPr>
            <w:rStyle w:val="Hypertextovodkaz"/>
            <w:rFonts w:ascii="Candara" w:hAnsi="Candara" w:cs="Arial"/>
            <w:sz w:val="21"/>
            <w:szCs w:val="21"/>
          </w:rPr>
          <w:t>www.navystavisti.cz</w:t>
        </w:r>
      </w:hyperlink>
      <w:r>
        <w:rPr>
          <w:rFonts w:ascii="Candara" w:hAnsi="Candara" w:cs="Arial"/>
          <w:sz w:val="21"/>
          <w:szCs w:val="21"/>
        </w:rPr>
        <w:t xml:space="preserve">  </w:t>
      </w:r>
      <w:r w:rsidR="007068EC">
        <w:rPr>
          <w:rFonts w:ascii="Candara" w:hAnsi="Candara" w:cs="Arial"/>
          <w:sz w:val="21"/>
          <w:szCs w:val="21"/>
        </w:rPr>
        <w:t xml:space="preserve">v sekci „Plavecký bazén“ – Dokumenty. </w:t>
      </w:r>
      <w:r w:rsidRPr="001142D3">
        <w:rPr>
          <w:rFonts w:ascii="Candara" w:hAnsi="Candara" w:cs="Arial"/>
          <w:sz w:val="21"/>
          <w:szCs w:val="21"/>
        </w:rPr>
        <w:t xml:space="preserve"> </w:t>
      </w:r>
    </w:p>
    <w:p w14:paraId="21958B4C" w14:textId="63CA2FCC" w:rsidR="001142D3" w:rsidRPr="001142D3" w:rsidRDefault="001142D3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 xml:space="preserve">V otázkách výslovně neupravených v tomto Návštěvním řádu se ostatní práva a povinnosti řídí příslušnými právními předpisy platnými na území České republiky. </w:t>
      </w:r>
    </w:p>
    <w:p w14:paraId="36F5E2D4" w14:textId="0B49E8A0" w:rsidR="00CE20DB" w:rsidRDefault="00CE20DB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5F112F81" w14:textId="77777777" w:rsidR="001142D3" w:rsidRPr="00194391" w:rsidRDefault="001142D3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6F4EE339" w14:textId="569AF92E" w:rsidR="00CE20DB" w:rsidRPr="00194391" w:rsidRDefault="00CE20DB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  <w:r w:rsidRPr="00194391">
        <w:rPr>
          <w:rFonts w:ascii="Candara" w:hAnsi="Candara" w:cs="Arial"/>
          <w:sz w:val="21"/>
          <w:szCs w:val="21"/>
        </w:rPr>
        <w:t>Datum:</w:t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="001142D3">
        <w:rPr>
          <w:rFonts w:ascii="Candara" w:hAnsi="Candara" w:cs="Arial"/>
          <w:sz w:val="21"/>
          <w:szCs w:val="21"/>
        </w:rPr>
        <w:t xml:space="preserve">               </w:t>
      </w:r>
      <w:r w:rsidRPr="00194391">
        <w:rPr>
          <w:rFonts w:ascii="Candara" w:hAnsi="Candara" w:cs="Arial"/>
          <w:sz w:val="21"/>
          <w:szCs w:val="21"/>
        </w:rPr>
        <w:t>Razítko a podpis:</w:t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</w:p>
    <w:p w14:paraId="406FF2C6" w14:textId="77777777" w:rsidR="00CE20DB" w:rsidRPr="00194391" w:rsidRDefault="00CE20DB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21C17384" w14:textId="77777777" w:rsidR="00CE20DB" w:rsidRPr="00194391" w:rsidRDefault="00CE20DB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  <w:r w:rsidRPr="00194391">
        <w:rPr>
          <w:rFonts w:ascii="Candara" w:hAnsi="Candara" w:cs="Arial"/>
          <w:sz w:val="21"/>
          <w:szCs w:val="21"/>
        </w:rPr>
        <w:t>Schválil:</w:t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</w:r>
      <w:r w:rsidRPr="00194391">
        <w:rPr>
          <w:rFonts w:ascii="Candara" w:hAnsi="Candara" w:cs="Arial"/>
          <w:sz w:val="21"/>
          <w:szCs w:val="21"/>
        </w:rPr>
        <w:tab/>
        <w:t>Dne:</w:t>
      </w:r>
    </w:p>
    <w:p w14:paraId="65720A3B" w14:textId="77777777" w:rsidR="00CE20DB" w:rsidRPr="00194391" w:rsidRDefault="00CE20DB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3BB32522" w14:textId="77777777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62A44B10" w14:textId="77777777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p w14:paraId="53E08A1D" w14:textId="77777777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u w:val="single"/>
          <w:lang w:eastAsia="cs-CZ"/>
        </w:rPr>
      </w:pPr>
    </w:p>
    <w:p w14:paraId="681F6A8D" w14:textId="77777777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u w:val="single"/>
          <w:lang w:eastAsia="cs-CZ"/>
        </w:rPr>
      </w:pPr>
    </w:p>
    <w:p w14:paraId="18479245" w14:textId="77777777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eastAsia="Times New Roman" w:hAnsi="Candara" w:cs="Arial"/>
          <w:b/>
          <w:sz w:val="21"/>
          <w:szCs w:val="21"/>
          <w:u w:val="single"/>
          <w:lang w:eastAsia="cs-CZ"/>
        </w:rPr>
      </w:pPr>
    </w:p>
    <w:p w14:paraId="69ABAA84" w14:textId="2F522586" w:rsidR="00476302" w:rsidRPr="00194391" w:rsidRDefault="00476302" w:rsidP="00194391">
      <w:pPr>
        <w:snapToGrid w:val="0"/>
        <w:spacing w:before="120" w:after="120" w:line="240" w:lineRule="auto"/>
        <w:jc w:val="both"/>
        <w:rPr>
          <w:rFonts w:ascii="Candara" w:hAnsi="Candara" w:cs="Arial"/>
          <w:sz w:val="21"/>
          <w:szCs w:val="21"/>
        </w:rPr>
      </w:pPr>
    </w:p>
    <w:sectPr w:rsidR="00476302" w:rsidRPr="00194391" w:rsidSect="00194391">
      <w:headerReference w:type="default" r:id="rId8"/>
      <w:pgSz w:w="11906" w:h="16838"/>
      <w:pgMar w:top="1440" w:right="118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8C6D" w14:textId="77777777" w:rsidR="00170717" w:rsidRDefault="00170717" w:rsidP="005E536A">
      <w:pPr>
        <w:spacing w:after="0" w:line="240" w:lineRule="auto"/>
      </w:pPr>
      <w:r>
        <w:separator/>
      </w:r>
    </w:p>
  </w:endnote>
  <w:endnote w:type="continuationSeparator" w:id="0">
    <w:p w14:paraId="142C9C77" w14:textId="77777777" w:rsidR="00170717" w:rsidRDefault="00170717" w:rsidP="005E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A82C" w14:textId="77777777" w:rsidR="00170717" w:rsidRDefault="00170717" w:rsidP="005E536A">
      <w:pPr>
        <w:spacing w:after="0" w:line="240" w:lineRule="auto"/>
      </w:pPr>
      <w:r>
        <w:separator/>
      </w:r>
    </w:p>
  </w:footnote>
  <w:footnote w:type="continuationSeparator" w:id="0">
    <w:p w14:paraId="1BBB2926" w14:textId="77777777" w:rsidR="00170717" w:rsidRDefault="00170717" w:rsidP="005E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4DC2" w14:textId="60B50219" w:rsidR="005E536A" w:rsidRDefault="005E536A">
    <w:pPr>
      <w:pStyle w:val="Zhlav"/>
    </w:pPr>
    <w:r>
      <w:rPr>
        <w:noProof/>
        <w:lang w:eastAsia="cs-CZ"/>
      </w:rPr>
      <w:drawing>
        <wp:inline distT="0" distB="0" distL="0" distR="0" wp14:anchorId="1B16CE9C" wp14:editId="572FA292">
          <wp:extent cx="1177871" cy="363855"/>
          <wp:effectExtent l="0" t="0" r="381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vid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97" cy="37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E60EF" w14:textId="77777777" w:rsidR="005E536A" w:rsidRDefault="005E5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153"/>
    <w:multiLevelType w:val="hybridMultilevel"/>
    <w:tmpl w:val="FBBAA834"/>
    <w:lvl w:ilvl="0" w:tplc="F3DE37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2109"/>
    <w:multiLevelType w:val="hybridMultilevel"/>
    <w:tmpl w:val="0CE4E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13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583B2C"/>
    <w:multiLevelType w:val="hybridMultilevel"/>
    <w:tmpl w:val="55563A38"/>
    <w:lvl w:ilvl="0" w:tplc="FD10D65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E61EB"/>
    <w:multiLevelType w:val="hybridMultilevel"/>
    <w:tmpl w:val="9D786EB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26A58C2"/>
    <w:multiLevelType w:val="hybridMultilevel"/>
    <w:tmpl w:val="56FC5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71DC"/>
    <w:multiLevelType w:val="hybridMultilevel"/>
    <w:tmpl w:val="929047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21D"/>
    <w:multiLevelType w:val="hybridMultilevel"/>
    <w:tmpl w:val="68AAB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3EA8"/>
    <w:multiLevelType w:val="hybridMultilevel"/>
    <w:tmpl w:val="F4C4A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2288A"/>
    <w:multiLevelType w:val="multilevel"/>
    <w:tmpl w:val="BE94D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A7242CE"/>
    <w:multiLevelType w:val="hybridMultilevel"/>
    <w:tmpl w:val="34725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58AD"/>
    <w:multiLevelType w:val="multilevel"/>
    <w:tmpl w:val="6ADAC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215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B1CE2"/>
    <w:multiLevelType w:val="multilevel"/>
    <w:tmpl w:val="9EB61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0B54FC"/>
    <w:multiLevelType w:val="hybridMultilevel"/>
    <w:tmpl w:val="37AC1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5EAB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662E4593"/>
    <w:multiLevelType w:val="multilevel"/>
    <w:tmpl w:val="93EEB1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F729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353B49"/>
    <w:multiLevelType w:val="multilevel"/>
    <w:tmpl w:val="33AE2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7B5B1BFC"/>
    <w:multiLevelType w:val="hybridMultilevel"/>
    <w:tmpl w:val="7BEC6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90A06"/>
    <w:multiLevelType w:val="hybridMultilevel"/>
    <w:tmpl w:val="721C2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20"/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6"/>
  </w:num>
  <w:num w:numId="18">
    <w:abstractNumId w:val="9"/>
  </w:num>
  <w:num w:numId="19">
    <w:abstractNumId w:val="13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01"/>
    <w:rsid w:val="0003521C"/>
    <w:rsid w:val="00051E67"/>
    <w:rsid w:val="00074D1B"/>
    <w:rsid w:val="000A2866"/>
    <w:rsid w:val="000A62CD"/>
    <w:rsid w:val="000D5965"/>
    <w:rsid w:val="001076EC"/>
    <w:rsid w:val="001142D3"/>
    <w:rsid w:val="00161A6A"/>
    <w:rsid w:val="0016701F"/>
    <w:rsid w:val="00170717"/>
    <w:rsid w:val="00194391"/>
    <w:rsid w:val="001C5271"/>
    <w:rsid w:val="001D002C"/>
    <w:rsid w:val="00261C95"/>
    <w:rsid w:val="00267B49"/>
    <w:rsid w:val="00281FB1"/>
    <w:rsid w:val="002D7DDB"/>
    <w:rsid w:val="002E0DCE"/>
    <w:rsid w:val="00310DEC"/>
    <w:rsid w:val="00333546"/>
    <w:rsid w:val="0039110D"/>
    <w:rsid w:val="003B3C41"/>
    <w:rsid w:val="00465D85"/>
    <w:rsid w:val="00476302"/>
    <w:rsid w:val="004A41DA"/>
    <w:rsid w:val="004E05F2"/>
    <w:rsid w:val="00517D8F"/>
    <w:rsid w:val="00526DE1"/>
    <w:rsid w:val="00590DCB"/>
    <w:rsid w:val="005D2B4A"/>
    <w:rsid w:val="005E4260"/>
    <w:rsid w:val="005E536A"/>
    <w:rsid w:val="00612BDC"/>
    <w:rsid w:val="00681919"/>
    <w:rsid w:val="00687A5D"/>
    <w:rsid w:val="00697C60"/>
    <w:rsid w:val="006A6634"/>
    <w:rsid w:val="00702D93"/>
    <w:rsid w:val="007068EC"/>
    <w:rsid w:val="00731B8D"/>
    <w:rsid w:val="00772602"/>
    <w:rsid w:val="00791D7F"/>
    <w:rsid w:val="007D548B"/>
    <w:rsid w:val="00897D74"/>
    <w:rsid w:val="00897FBD"/>
    <w:rsid w:val="008A7BD2"/>
    <w:rsid w:val="008B40D3"/>
    <w:rsid w:val="008E4BE3"/>
    <w:rsid w:val="008F50C6"/>
    <w:rsid w:val="00976B7B"/>
    <w:rsid w:val="009B40C7"/>
    <w:rsid w:val="009B6DAA"/>
    <w:rsid w:val="009F6516"/>
    <w:rsid w:val="00AB3156"/>
    <w:rsid w:val="00AE26B1"/>
    <w:rsid w:val="00AE7609"/>
    <w:rsid w:val="00B26886"/>
    <w:rsid w:val="00B84425"/>
    <w:rsid w:val="00C16493"/>
    <w:rsid w:val="00C20153"/>
    <w:rsid w:val="00C579BC"/>
    <w:rsid w:val="00C9322B"/>
    <w:rsid w:val="00CB1D7A"/>
    <w:rsid w:val="00CD23CD"/>
    <w:rsid w:val="00CE20DB"/>
    <w:rsid w:val="00D36467"/>
    <w:rsid w:val="00D72D01"/>
    <w:rsid w:val="00D73C52"/>
    <w:rsid w:val="00D77FA9"/>
    <w:rsid w:val="00D81DEF"/>
    <w:rsid w:val="00D85589"/>
    <w:rsid w:val="00DA62F8"/>
    <w:rsid w:val="00E40426"/>
    <w:rsid w:val="00E67FD9"/>
    <w:rsid w:val="00E97ADC"/>
    <w:rsid w:val="00F05427"/>
    <w:rsid w:val="00F4535C"/>
    <w:rsid w:val="00F54739"/>
    <w:rsid w:val="00F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59FE"/>
  <w15:chartTrackingRefBased/>
  <w15:docId w15:val="{22E638DF-695C-410B-B0CB-C0C534F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D7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D72D01"/>
  </w:style>
  <w:style w:type="character" w:styleId="Hypertextovodkaz">
    <w:name w:val="Hyperlink"/>
    <w:basedOn w:val="Standardnpsmoodstavce"/>
    <w:uiPriority w:val="99"/>
    <w:unhideWhenUsed/>
    <w:rsid w:val="004E05F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05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46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A62F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36A"/>
  </w:style>
  <w:style w:type="paragraph" w:styleId="Zpat">
    <w:name w:val="footer"/>
    <w:basedOn w:val="Normln"/>
    <w:link w:val="ZpatChar"/>
    <w:uiPriority w:val="99"/>
    <w:unhideWhenUsed/>
    <w:rsid w:val="005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36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vystav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2154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Kuřátková</dc:creator>
  <cp:keywords/>
  <dc:description/>
  <cp:lastModifiedBy>Jana Dvořáková</cp:lastModifiedBy>
  <cp:revision>5</cp:revision>
  <cp:lastPrinted>2024-07-17T12:56:00Z</cp:lastPrinted>
  <dcterms:created xsi:type="dcterms:W3CDTF">2024-06-24T10:23:00Z</dcterms:created>
  <dcterms:modified xsi:type="dcterms:W3CDTF">2024-07-17T12:56:00Z</dcterms:modified>
</cp:coreProperties>
</file>